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4C3" w14:textId="77777777" w:rsidR="008D5989" w:rsidRPr="008D5989" w:rsidRDefault="008D5989" w:rsidP="00A0735C">
      <w:pPr>
        <w:spacing w:after="0"/>
        <w:ind w:firstLine="709"/>
        <w:jc w:val="center"/>
      </w:pPr>
      <w:r w:rsidRPr="008D5989">
        <w:rPr>
          <w:b/>
          <w:bCs/>
        </w:rPr>
        <w:t>ПОЛЬЗОВАТЕЛЬСКОЕ СОГЛАШЕНИЕ</w:t>
      </w:r>
    </w:p>
    <w:p w14:paraId="54DD792F" w14:textId="77777777" w:rsidR="008D5989" w:rsidRPr="008D5989" w:rsidRDefault="008D5989" w:rsidP="00A0735C">
      <w:pPr>
        <w:spacing w:after="0"/>
        <w:ind w:firstLine="709"/>
        <w:jc w:val="center"/>
      </w:pPr>
      <w:r w:rsidRPr="008D5989">
        <w:t>для сайта </w:t>
      </w:r>
      <w:r w:rsidRPr="008D5989">
        <w:rPr>
          <w:b/>
          <w:bCs/>
        </w:rPr>
        <w:t>mebelct.ru</w:t>
      </w:r>
    </w:p>
    <w:p w14:paraId="4F7EF2F0" w14:textId="77777777" w:rsidR="008D5989" w:rsidRPr="008D5989" w:rsidRDefault="008D5989" w:rsidP="008D5989">
      <w:pPr>
        <w:spacing w:after="0"/>
        <w:ind w:firstLine="709"/>
        <w:jc w:val="both"/>
      </w:pPr>
    </w:p>
    <w:p w14:paraId="543ACC7C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1. Общие положения</w:t>
      </w:r>
    </w:p>
    <w:p w14:paraId="6EC38F1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Настоящее Пользовательское соглашение (далее — </w:t>
      </w:r>
      <w:r w:rsidRPr="008D5989">
        <w:rPr>
          <w:b/>
          <w:bCs/>
        </w:rPr>
        <w:t>Соглашение</w:t>
      </w:r>
      <w:r w:rsidRPr="008D5989">
        <w:t>) определяет порядок использования сайта </w:t>
      </w:r>
      <w:r w:rsidRPr="008D5989">
        <w:rPr>
          <w:b/>
          <w:bCs/>
        </w:rPr>
        <w:t>mebelct.ru</w:t>
      </w:r>
      <w:r w:rsidRPr="008D5989">
        <w:t>, принадлежащего Индивидуальному предпринимателю Сергееву Антону Игоревичу (далее — </w:t>
      </w:r>
      <w:r w:rsidRPr="008D5989">
        <w:rPr>
          <w:b/>
          <w:bCs/>
        </w:rPr>
        <w:t>Оператор</w:t>
      </w:r>
      <w:r w:rsidRPr="008D5989">
        <w:t>).</w:t>
      </w:r>
    </w:p>
    <w:p w14:paraId="5F54F0E5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Используя сайт, пользователь подтверждает ознакомление с условиями настоящего Соглашения и обязуется соблюдать их.</w:t>
      </w:r>
    </w:p>
    <w:p w14:paraId="58AA5A21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Если пользователь не согласен с условиями настоящего Соглашения, он должен прекратить использование сайта.</w:t>
      </w:r>
    </w:p>
    <w:p w14:paraId="1A509522" w14:textId="078DA91F" w:rsidR="008D5989" w:rsidRPr="006A61AD" w:rsidRDefault="006A61AD" w:rsidP="008D5989">
      <w:pPr>
        <w:spacing w:after="0"/>
        <w:ind w:firstLine="709"/>
        <w:jc w:val="both"/>
      </w:pPr>
      <w:r w:rsidRPr="006A61AD">
        <w:t>Оператор вправе в любое время ограничить доступ пользователя к сайту или его отдельным функциям (включая использование карты лояльности и участие в программе лояльности) в случае нарушения пользователем условий настоящего Соглашения, Правил программы лояльности, а также при злоупотреблении правами или совершении действий, способных причинить вред Оператору, другим пользователям или третьим лицам.</w:t>
      </w:r>
    </w:p>
    <w:p w14:paraId="5AC6C917" w14:textId="77777777" w:rsidR="006A61AD" w:rsidRPr="008D5989" w:rsidRDefault="006A61AD" w:rsidP="008D5989">
      <w:pPr>
        <w:spacing w:after="0"/>
        <w:ind w:firstLine="709"/>
        <w:jc w:val="both"/>
      </w:pPr>
    </w:p>
    <w:p w14:paraId="2075F778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2. Назначение сайта</w:t>
      </w:r>
    </w:p>
    <w:p w14:paraId="68A38052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Сайт </w:t>
      </w:r>
      <w:r w:rsidRPr="008D5989">
        <w:rPr>
          <w:b/>
          <w:bCs/>
        </w:rPr>
        <w:t>mebelct.ru</w:t>
      </w:r>
      <w:r w:rsidRPr="008D5989">
        <w:t> является официальным информационным ресурсом торгового центра </w:t>
      </w:r>
      <w:r w:rsidRPr="008D5989">
        <w:rPr>
          <w:b/>
          <w:bCs/>
        </w:rPr>
        <w:t>«Мебель Сити»</w:t>
      </w:r>
      <w:r w:rsidRPr="008D5989">
        <w:t>.</w:t>
      </w:r>
    </w:p>
    <w:p w14:paraId="637EBFCD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Сайт предназначен для:</w:t>
      </w:r>
    </w:p>
    <w:p w14:paraId="1090F889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ознакомления с ассортиментом товаров;</w:t>
      </w:r>
    </w:p>
    <w:p w14:paraId="249B6A2D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получения информации о мебельных салонах;</w:t>
      </w:r>
    </w:p>
    <w:p w14:paraId="794501FB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направления заявок продавцам;</w:t>
      </w:r>
    </w:p>
    <w:p w14:paraId="6769FEE1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заказа консультации;</w:t>
      </w:r>
    </w:p>
    <w:p w14:paraId="6863F1F3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заказа обратного звонка;</w:t>
      </w:r>
    </w:p>
    <w:p w14:paraId="5D45ECEA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регистрации в программе лояльности;</w:t>
      </w:r>
    </w:p>
    <w:p w14:paraId="5E9EAD97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получения информации об акциях;</w:t>
      </w:r>
    </w:p>
    <w:p w14:paraId="087658DE" w14:textId="77777777" w:rsidR="008D5989" w:rsidRPr="008D5989" w:rsidRDefault="008D5989" w:rsidP="008D5989">
      <w:pPr>
        <w:numPr>
          <w:ilvl w:val="0"/>
          <w:numId w:val="1"/>
        </w:numPr>
        <w:spacing w:after="0"/>
        <w:jc w:val="both"/>
      </w:pPr>
      <w:r w:rsidRPr="008D5989">
        <w:t>получения информации о мероприятиях торгового центра.</w:t>
      </w:r>
    </w:p>
    <w:p w14:paraId="3F3BFC6A" w14:textId="77777777" w:rsidR="008D5989" w:rsidRPr="008D5989" w:rsidRDefault="008D5989" w:rsidP="008D5989">
      <w:pPr>
        <w:spacing w:after="0"/>
        <w:ind w:firstLine="709"/>
        <w:jc w:val="both"/>
      </w:pPr>
    </w:p>
    <w:p w14:paraId="7B4F3816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3. Каталог товаров</w:t>
      </w:r>
    </w:p>
    <w:p w14:paraId="29278C12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Размещённая на сайте информация о товарах носит исключительно информационный характер.</w:t>
      </w:r>
    </w:p>
    <w:p w14:paraId="6D354D8D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Изображения товаров могут отличаться от фактического внешнего вида.</w:t>
      </w:r>
    </w:p>
    <w:p w14:paraId="30ED1136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Цвета изделий могут отображаться по-разному в зависимости от характеристик устройства пользователя.</w:t>
      </w:r>
    </w:p>
    <w:p w14:paraId="11BA092E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Стоимость, комплектация, наличие и сроки изготовления могут изменяться без предварительного уведомления.</w:t>
      </w:r>
    </w:p>
    <w:p w14:paraId="28FEE4E8" w14:textId="77777777" w:rsidR="008D5989" w:rsidRPr="008D5989" w:rsidRDefault="008D5989" w:rsidP="008D5989">
      <w:pPr>
        <w:spacing w:after="0"/>
        <w:ind w:firstLine="709"/>
        <w:jc w:val="both"/>
      </w:pPr>
    </w:p>
    <w:p w14:paraId="55A05ECA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4. Информация не является публичной офертой</w:t>
      </w:r>
    </w:p>
    <w:p w14:paraId="0461424E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Информация, размещённая на сайте, включая:</w:t>
      </w:r>
    </w:p>
    <w:p w14:paraId="2239526D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описания товаров;</w:t>
      </w:r>
    </w:p>
    <w:p w14:paraId="0C1BD9E5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изображения;</w:t>
      </w:r>
    </w:p>
    <w:p w14:paraId="2382E5CF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lastRenderedPageBreak/>
        <w:t>характеристики;</w:t>
      </w:r>
    </w:p>
    <w:p w14:paraId="6FB6F1D7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цены;</w:t>
      </w:r>
    </w:p>
    <w:p w14:paraId="5868B56C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размеры;</w:t>
      </w:r>
    </w:p>
    <w:p w14:paraId="4404D4DD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специальные предложения;</w:t>
      </w:r>
    </w:p>
    <w:p w14:paraId="0866F9F4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акции;</w:t>
      </w:r>
    </w:p>
    <w:p w14:paraId="718FCD0B" w14:textId="77777777" w:rsidR="008D5989" w:rsidRPr="008D5989" w:rsidRDefault="008D5989" w:rsidP="008D5989">
      <w:pPr>
        <w:numPr>
          <w:ilvl w:val="0"/>
          <w:numId w:val="2"/>
        </w:numPr>
        <w:spacing w:after="0"/>
        <w:jc w:val="both"/>
      </w:pPr>
      <w:r w:rsidRPr="008D5989">
        <w:t>сведения о наличии,</w:t>
      </w:r>
    </w:p>
    <w:p w14:paraId="34BA232C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носит исключительно информационный характер.</w:t>
      </w:r>
    </w:p>
    <w:p w14:paraId="63E41258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Размещение информации на сайте </w:t>
      </w:r>
      <w:r w:rsidRPr="008D5989">
        <w:rPr>
          <w:b/>
          <w:bCs/>
        </w:rPr>
        <w:t>не является публичной офертой</w:t>
      </w:r>
      <w:r w:rsidRPr="008D5989">
        <w:t> в смысле статьи 437 Гражданского кодекса Российской Федерации.</w:t>
      </w:r>
    </w:p>
    <w:p w14:paraId="3FA09F1F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Окончательные условия приобретения товара определяются непосредственно соответствующим продавцом (арендатором торгового центра).</w:t>
      </w:r>
    </w:p>
    <w:p w14:paraId="10054A59" w14:textId="77777777" w:rsidR="008D5989" w:rsidRPr="008D5989" w:rsidRDefault="008D5989" w:rsidP="008D5989">
      <w:pPr>
        <w:spacing w:after="0"/>
        <w:ind w:firstLine="709"/>
        <w:jc w:val="both"/>
      </w:pPr>
    </w:p>
    <w:p w14:paraId="3601E2E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5. Направление заявок</w:t>
      </w:r>
    </w:p>
    <w:p w14:paraId="016A254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При заполнении формы «Заказать» пользователь подтверждает достоверность предоставляемых сведений.</w:t>
      </w:r>
    </w:p>
    <w:p w14:paraId="60244C69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Заявка направляется соответствующему продавцу (арендатору торгового центра), выбранному пользователем.</w:t>
      </w:r>
    </w:p>
    <w:p w14:paraId="6B944683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Направление заявки не означает заключение договора купли-продажи.</w:t>
      </w:r>
    </w:p>
    <w:p w14:paraId="32620A40" w14:textId="77777777" w:rsidR="008D5989" w:rsidRPr="008D5989" w:rsidRDefault="008D5989" w:rsidP="008D5989">
      <w:pPr>
        <w:spacing w:after="0"/>
        <w:ind w:firstLine="709"/>
        <w:jc w:val="both"/>
      </w:pPr>
    </w:p>
    <w:p w14:paraId="762FFA0F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6. Программа лояльности</w:t>
      </w:r>
    </w:p>
    <w:p w14:paraId="7DCAD7FC" w14:textId="77777777" w:rsidR="00D91792" w:rsidRDefault="00D91792" w:rsidP="00D91792">
      <w:pPr>
        <w:spacing w:after="0"/>
        <w:ind w:firstLine="709"/>
        <w:jc w:val="both"/>
      </w:pPr>
      <w:r>
        <w:t>Сайт предоставляет возможность регистрации пользователей в программе лояльности торгового центра «Мебель Сити».</w:t>
      </w:r>
    </w:p>
    <w:p w14:paraId="69CCC891" w14:textId="77777777" w:rsidR="00D91792" w:rsidRDefault="00D91792" w:rsidP="00D91792">
      <w:pPr>
        <w:spacing w:after="0"/>
        <w:ind w:firstLine="709"/>
        <w:jc w:val="both"/>
      </w:pPr>
      <w:r>
        <w:t>Участие в программе осуществляется в соответствии с Правилами программы лояльности, которые являются публичной офертой и размещены на Сайте. При регистрации пользователь принимает условия Правил.</w:t>
      </w:r>
    </w:p>
    <w:p w14:paraId="703763C6" w14:textId="2E917EAA" w:rsidR="00D91792" w:rsidRDefault="00D91792" w:rsidP="00D91792">
      <w:pPr>
        <w:spacing w:after="0"/>
        <w:ind w:firstLine="709"/>
        <w:jc w:val="both"/>
      </w:pPr>
      <w:r>
        <w:t xml:space="preserve">После регистрации выпускается электронная карта, которая добавляется в </w:t>
      </w:r>
      <w:proofErr w:type="spellStart"/>
      <w:r>
        <w:t>Wallet</w:t>
      </w:r>
      <w:proofErr w:type="spellEnd"/>
      <w:r>
        <w:t xml:space="preserve"> посредством сервиса Get Me Back.</w:t>
      </w:r>
    </w:p>
    <w:p w14:paraId="17FBA1DC" w14:textId="77777777" w:rsidR="00D91792" w:rsidRDefault="00D91792" w:rsidP="00D91792">
      <w:pPr>
        <w:spacing w:after="0"/>
        <w:ind w:firstLine="709"/>
        <w:jc w:val="both"/>
      </w:pPr>
      <w:r>
        <w:t>Программа не предусматривает начисления бонусов; участникам предоставляются скидки, специальные предложения и иные привилегии на условиях, определяемых каждым салоном-партнёром.</w:t>
      </w:r>
    </w:p>
    <w:p w14:paraId="366BEF54" w14:textId="7F8E742A" w:rsidR="008D5989" w:rsidRPr="008D5989" w:rsidRDefault="00D91792" w:rsidP="00D91792">
      <w:pPr>
        <w:spacing w:after="0"/>
        <w:ind w:firstLine="709"/>
        <w:jc w:val="both"/>
      </w:pPr>
      <w:r>
        <w:t>Отказ от участия в программе осуществляется путём направления уведомления на адрес электронной почты Организатора (Office@mebelct.ru) или через форму обратной связи на Сайте.</w:t>
      </w:r>
    </w:p>
    <w:p w14:paraId="65C92861" w14:textId="77777777" w:rsidR="008D5989" w:rsidRPr="008D5989" w:rsidRDefault="008D5989" w:rsidP="008D5989">
      <w:pPr>
        <w:spacing w:after="0"/>
        <w:ind w:firstLine="709"/>
        <w:jc w:val="both"/>
      </w:pPr>
    </w:p>
    <w:p w14:paraId="711EFA49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7. Интеллектуальная собственность</w:t>
      </w:r>
    </w:p>
    <w:p w14:paraId="4C74B5AF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Все материалы сайта, включая:</w:t>
      </w:r>
    </w:p>
    <w:p w14:paraId="346ADB75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фотографии;</w:t>
      </w:r>
    </w:p>
    <w:p w14:paraId="0271EC07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тексты;</w:t>
      </w:r>
    </w:p>
    <w:p w14:paraId="677877D2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логотипы;</w:t>
      </w:r>
    </w:p>
    <w:p w14:paraId="1399A4BC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дизайн;</w:t>
      </w:r>
    </w:p>
    <w:p w14:paraId="08518AEE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графические элементы;</w:t>
      </w:r>
    </w:p>
    <w:p w14:paraId="3B4B7CA4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программный код;</w:t>
      </w:r>
    </w:p>
    <w:p w14:paraId="59F9718C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фирменный стиль;</w:t>
      </w:r>
    </w:p>
    <w:p w14:paraId="5185FD1F" w14:textId="77777777" w:rsidR="008D5989" w:rsidRPr="008D5989" w:rsidRDefault="008D5989" w:rsidP="008D5989">
      <w:pPr>
        <w:numPr>
          <w:ilvl w:val="0"/>
          <w:numId w:val="3"/>
        </w:numPr>
        <w:spacing w:after="0"/>
        <w:jc w:val="both"/>
      </w:pPr>
      <w:r w:rsidRPr="008D5989">
        <w:t>базы данных,</w:t>
      </w:r>
    </w:p>
    <w:p w14:paraId="1C4C725E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lastRenderedPageBreak/>
        <w:t>являются объектами интеллектуальной собственности.</w:t>
      </w:r>
    </w:p>
    <w:p w14:paraId="3BCC4D66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Любое использование материалов сайта без письменного согласия правообладателя запрещено, за исключением случаев, прямо предусмотренных законодательством Российской Федерации.</w:t>
      </w:r>
    </w:p>
    <w:p w14:paraId="27C2264F" w14:textId="77777777" w:rsidR="008D5989" w:rsidRPr="008D5989" w:rsidRDefault="008D5989" w:rsidP="008D5989">
      <w:pPr>
        <w:spacing w:after="0"/>
        <w:ind w:firstLine="709"/>
        <w:jc w:val="both"/>
      </w:pPr>
    </w:p>
    <w:p w14:paraId="5E447FE3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8. Ограничение ответственности</w:t>
      </w:r>
    </w:p>
    <w:p w14:paraId="04EB037B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Оператор не несёт ответственности:</w:t>
      </w:r>
    </w:p>
    <w:p w14:paraId="46F13B42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действия продавцов (арендаторов);</w:t>
      </w:r>
    </w:p>
    <w:p w14:paraId="2F7B27F2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качество реализуемых ими товаров;</w:t>
      </w:r>
    </w:p>
    <w:p w14:paraId="22B84802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сроки изготовления;</w:t>
      </w:r>
    </w:p>
    <w:p w14:paraId="12AF2715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сроки доставки;</w:t>
      </w:r>
    </w:p>
    <w:p w14:paraId="647B0680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исполнение гарантийных обязательств продавцов;</w:t>
      </w:r>
    </w:p>
    <w:p w14:paraId="5EB54D57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убытки, возникшие вследствие использования сайта;</w:t>
      </w:r>
    </w:p>
    <w:p w14:paraId="6C64F192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временную недоступность сайта;</w:t>
      </w:r>
    </w:p>
    <w:p w14:paraId="77946E9D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перебои в работе сети Интернет;</w:t>
      </w:r>
    </w:p>
    <w:p w14:paraId="1464718D" w14:textId="77777777" w:rsidR="008D5989" w:rsidRPr="008D5989" w:rsidRDefault="008D5989" w:rsidP="008D5989">
      <w:pPr>
        <w:numPr>
          <w:ilvl w:val="0"/>
          <w:numId w:val="4"/>
        </w:numPr>
        <w:spacing w:after="0"/>
        <w:jc w:val="both"/>
      </w:pPr>
      <w:r w:rsidRPr="008D5989">
        <w:t>за действия третьих лиц.</w:t>
      </w:r>
    </w:p>
    <w:p w14:paraId="6C64F31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Ответственность за исполнение обязательств по договору купли-продажи несёт соответствующий продавец.</w:t>
      </w:r>
    </w:p>
    <w:p w14:paraId="77CE43B1" w14:textId="77777777" w:rsidR="008D5989" w:rsidRPr="008D5989" w:rsidRDefault="008D5989" w:rsidP="008D5989">
      <w:pPr>
        <w:spacing w:after="0"/>
        <w:ind w:firstLine="709"/>
        <w:jc w:val="both"/>
      </w:pPr>
    </w:p>
    <w:p w14:paraId="3F07E033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9. Обработка персональных данных</w:t>
      </w:r>
    </w:p>
    <w:p w14:paraId="2C30EAF5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Порядок обработки персональных данных определяется:</w:t>
      </w:r>
    </w:p>
    <w:p w14:paraId="6BB27817" w14:textId="77777777" w:rsidR="008D5989" w:rsidRPr="008D5989" w:rsidRDefault="008D5989" w:rsidP="008D5989">
      <w:pPr>
        <w:numPr>
          <w:ilvl w:val="0"/>
          <w:numId w:val="5"/>
        </w:numPr>
        <w:spacing w:after="0"/>
        <w:jc w:val="both"/>
      </w:pPr>
      <w:r w:rsidRPr="008D5989">
        <w:t>Политикой обработки персональных данных;</w:t>
      </w:r>
    </w:p>
    <w:p w14:paraId="38B60850" w14:textId="77777777" w:rsidR="008D5989" w:rsidRPr="008D5989" w:rsidRDefault="008D5989" w:rsidP="008D5989">
      <w:pPr>
        <w:numPr>
          <w:ilvl w:val="0"/>
          <w:numId w:val="5"/>
        </w:numPr>
        <w:spacing w:after="0"/>
        <w:jc w:val="both"/>
      </w:pPr>
      <w:r w:rsidRPr="008D5989">
        <w:t>Согласием на обработку персональных данных;</w:t>
      </w:r>
    </w:p>
    <w:p w14:paraId="3A69A594" w14:textId="77777777" w:rsidR="008D5989" w:rsidRPr="008D5989" w:rsidRDefault="008D5989" w:rsidP="008D5989">
      <w:pPr>
        <w:numPr>
          <w:ilvl w:val="0"/>
          <w:numId w:val="5"/>
        </w:numPr>
        <w:spacing w:after="0"/>
        <w:jc w:val="both"/>
      </w:pPr>
      <w:r w:rsidRPr="008D5989">
        <w:t>Политикой использования Cookie.</w:t>
      </w:r>
    </w:p>
    <w:p w14:paraId="0201E14E" w14:textId="77777777" w:rsidR="008D5989" w:rsidRPr="008D5989" w:rsidRDefault="008D5989" w:rsidP="008D5989">
      <w:pPr>
        <w:spacing w:after="0"/>
        <w:ind w:firstLine="709"/>
        <w:jc w:val="both"/>
      </w:pPr>
    </w:p>
    <w:p w14:paraId="1D2D2C3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10. Использование Cookie</w:t>
      </w:r>
    </w:p>
    <w:p w14:paraId="6905899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При использовании сайта пользователь соглашается с использованием файлов Cookie в соответствии с Политикой использования Cookie.</w:t>
      </w:r>
    </w:p>
    <w:p w14:paraId="147BD693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Пользователь вправе самостоятельно изменить настройки браузера и отказаться от использования Cookie, однако это может привести к ограничению функциональности сайта.</w:t>
      </w:r>
    </w:p>
    <w:p w14:paraId="6DE376C7" w14:textId="77777777" w:rsidR="008D5989" w:rsidRPr="008D5989" w:rsidRDefault="008D5989" w:rsidP="008D5989">
      <w:pPr>
        <w:spacing w:after="0"/>
        <w:ind w:firstLine="709"/>
        <w:jc w:val="both"/>
      </w:pPr>
    </w:p>
    <w:p w14:paraId="4A50A508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11. Изменение условий Соглашения</w:t>
      </w:r>
    </w:p>
    <w:p w14:paraId="12D7FDC0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Оператор вправе в любое время изменить настоящее Соглашение.</w:t>
      </w:r>
    </w:p>
    <w:p w14:paraId="032E5A10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Новая редакция вступает в силу с момента её публикации на сайте.</w:t>
      </w:r>
    </w:p>
    <w:p w14:paraId="2441CAD7" w14:textId="77777777" w:rsidR="008D5989" w:rsidRPr="008D5989" w:rsidRDefault="008D5989" w:rsidP="008D5989">
      <w:pPr>
        <w:spacing w:after="0"/>
        <w:ind w:firstLine="709"/>
        <w:jc w:val="both"/>
      </w:pPr>
    </w:p>
    <w:p w14:paraId="0B0F6856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12. Применимое право</w:t>
      </w:r>
    </w:p>
    <w:p w14:paraId="692267A2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К отношениям между пользователем и Оператором применяется законодательство Российской Федерации.</w:t>
      </w:r>
    </w:p>
    <w:p w14:paraId="67EE9B20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Все споры подлежат разрешению в соответствии с законодательством Российской Федерации.</w:t>
      </w:r>
    </w:p>
    <w:p w14:paraId="47C1FC55" w14:textId="77777777" w:rsidR="008D5989" w:rsidRPr="008D5989" w:rsidRDefault="008D5989" w:rsidP="008D5989">
      <w:pPr>
        <w:spacing w:after="0"/>
        <w:ind w:firstLine="709"/>
        <w:jc w:val="both"/>
      </w:pPr>
    </w:p>
    <w:p w14:paraId="77FA1D52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13. Реквизиты Оператора</w:t>
      </w:r>
    </w:p>
    <w:p w14:paraId="5143C7D4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rPr>
          <w:b/>
          <w:bCs/>
        </w:rPr>
        <w:t>Индивидуальный предприниматель Сергеев Антон Игоревич</w:t>
      </w:r>
    </w:p>
    <w:p w14:paraId="3055DF5E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t>ИНН: </w:t>
      </w:r>
      <w:r w:rsidRPr="008D5989">
        <w:rPr>
          <w:b/>
          <w:bCs/>
        </w:rPr>
        <w:t>643401595306</w:t>
      </w:r>
    </w:p>
    <w:p w14:paraId="6966DA55" w14:textId="77777777" w:rsidR="008D5989" w:rsidRPr="008D5989" w:rsidRDefault="008D5989" w:rsidP="008D5989">
      <w:pPr>
        <w:spacing w:after="0"/>
        <w:ind w:firstLine="709"/>
        <w:jc w:val="both"/>
      </w:pPr>
      <w:r w:rsidRPr="008D5989">
        <w:lastRenderedPageBreak/>
        <w:t>ОГРНИП: </w:t>
      </w:r>
      <w:r w:rsidRPr="008D5989">
        <w:rPr>
          <w:b/>
          <w:bCs/>
        </w:rPr>
        <w:t>320645100078130</w:t>
      </w:r>
    </w:p>
    <w:p w14:paraId="2A8FB1DA" w14:textId="098F0D92" w:rsidR="008D5989" w:rsidRPr="008D5989" w:rsidRDefault="008D5989" w:rsidP="008D5989">
      <w:pPr>
        <w:spacing w:after="0"/>
        <w:ind w:firstLine="709"/>
        <w:jc w:val="both"/>
      </w:pPr>
      <w:r w:rsidRPr="008D5989">
        <w:t>Юридический адрес:</w:t>
      </w:r>
      <w:r w:rsidR="00A0735C">
        <w:t xml:space="preserve"> </w:t>
      </w:r>
      <w:r w:rsidRPr="008D5989">
        <w:t>Саратовская область,</w:t>
      </w:r>
      <w:r w:rsidR="00A0735C">
        <w:t xml:space="preserve"> </w:t>
      </w:r>
      <w:r w:rsidRPr="008D5989">
        <w:t>пос. Светлый,</w:t>
      </w:r>
      <w:r w:rsidR="00A0735C">
        <w:t xml:space="preserve"> </w:t>
      </w:r>
      <w:r w:rsidRPr="008D5989">
        <w:t>ул. Гагарина, д. 21, кв. 75</w:t>
      </w:r>
    </w:p>
    <w:p w14:paraId="48146023" w14:textId="68C95BAD" w:rsidR="008D5989" w:rsidRPr="00A0735C" w:rsidRDefault="008D5989" w:rsidP="008D5989">
      <w:pPr>
        <w:spacing w:after="0"/>
        <w:ind w:firstLine="709"/>
        <w:jc w:val="both"/>
        <w:rPr>
          <w:lang w:val="en-US"/>
        </w:rPr>
      </w:pPr>
      <w:r w:rsidRPr="00A0735C">
        <w:rPr>
          <w:lang w:val="en-US"/>
        </w:rPr>
        <w:t>E-mail:</w:t>
      </w:r>
      <w:r w:rsidR="00A0735C" w:rsidRPr="00A0735C">
        <w:rPr>
          <w:lang w:val="en-US"/>
        </w:rPr>
        <w:t xml:space="preserve"> </w:t>
      </w:r>
      <w:hyperlink r:id="rId5" w:tgtFrame="_blank" w:history="1">
        <w:r w:rsidRPr="00A0735C">
          <w:rPr>
            <w:rStyle w:val="ac"/>
            <w:b/>
            <w:bCs/>
            <w:lang w:val="en-US"/>
          </w:rPr>
          <w:t>Office@mebelct.ru</w:t>
        </w:r>
      </w:hyperlink>
    </w:p>
    <w:p w14:paraId="6260BA0D" w14:textId="0FD3F0FD" w:rsidR="008D5989" w:rsidRPr="008D5989" w:rsidRDefault="008D5989" w:rsidP="008D5989">
      <w:pPr>
        <w:spacing w:after="0"/>
        <w:ind w:firstLine="709"/>
        <w:jc w:val="both"/>
      </w:pPr>
      <w:r w:rsidRPr="008D5989">
        <w:t>Сайт</w:t>
      </w:r>
      <w:r w:rsidRPr="00A0735C">
        <w:rPr>
          <w:lang w:val="en-US"/>
        </w:rPr>
        <w:t>:</w:t>
      </w:r>
      <w:r w:rsidR="00A0735C" w:rsidRPr="00A0735C">
        <w:rPr>
          <w:lang w:val="en-US"/>
        </w:rPr>
        <w:t xml:space="preserve"> </w:t>
      </w:r>
      <w:hyperlink r:id="rId6" w:tgtFrame="_blank" w:history="1">
        <w:r w:rsidRPr="008D5989">
          <w:rPr>
            <w:rStyle w:val="ac"/>
            <w:b/>
            <w:bCs/>
          </w:rPr>
          <w:t>https://mebelct.ru</w:t>
        </w:r>
      </w:hyperlink>
    </w:p>
    <w:p w14:paraId="33CE69CD" w14:textId="77777777" w:rsidR="008D5989" w:rsidRPr="008D5989" w:rsidRDefault="008D5989" w:rsidP="008D5989">
      <w:pPr>
        <w:spacing w:after="0"/>
        <w:ind w:firstLine="709"/>
        <w:jc w:val="both"/>
      </w:pPr>
    </w:p>
    <w:p w14:paraId="0C90B8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5E6A"/>
    <w:multiLevelType w:val="multilevel"/>
    <w:tmpl w:val="BA5E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255DD"/>
    <w:multiLevelType w:val="multilevel"/>
    <w:tmpl w:val="7CF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D13BF"/>
    <w:multiLevelType w:val="multilevel"/>
    <w:tmpl w:val="4F2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39F3"/>
    <w:multiLevelType w:val="multilevel"/>
    <w:tmpl w:val="AF9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3220C"/>
    <w:multiLevelType w:val="multilevel"/>
    <w:tmpl w:val="DA3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57D96"/>
    <w:multiLevelType w:val="multilevel"/>
    <w:tmpl w:val="784C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65D35"/>
    <w:multiLevelType w:val="multilevel"/>
    <w:tmpl w:val="29F4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907727">
    <w:abstractNumId w:val="4"/>
  </w:num>
  <w:num w:numId="2" w16cid:durableId="2038386526">
    <w:abstractNumId w:val="1"/>
  </w:num>
  <w:num w:numId="3" w16cid:durableId="1978758856">
    <w:abstractNumId w:val="2"/>
  </w:num>
  <w:num w:numId="4" w16cid:durableId="1388646807">
    <w:abstractNumId w:val="3"/>
  </w:num>
  <w:num w:numId="5" w16cid:durableId="478109729">
    <w:abstractNumId w:val="6"/>
  </w:num>
  <w:num w:numId="6" w16cid:durableId="497506332">
    <w:abstractNumId w:val="0"/>
  </w:num>
  <w:num w:numId="7" w16cid:durableId="79044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89"/>
    <w:rsid w:val="005E038C"/>
    <w:rsid w:val="006A61AD"/>
    <w:rsid w:val="006C0B77"/>
    <w:rsid w:val="008242FF"/>
    <w:rsid w:val="00870751"/>
    <w:rsid w:val="008D5989"/>
    <w:rsid w:val="00922C48"/>
    <w:rsid w:val="00A0735C"/>
    <w:rsid w:val="00B915B7"/>
    <w:rsid w:val="00B956A4"/>
    <w:rsid w:val="00D917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920A"/>
  <w15:chartTrackingRefBased/>
  <w15:docId w15:val="{A328A972-6FED-45B8-846F-78CC71FA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9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9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9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9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59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59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59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59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59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9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5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9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9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9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598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59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5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belct.ru/" TargetMode="External"/><Relationship Id="rId5" Type="http://schemas.openxmlformats.org/officeDocument/2006/relationships/hyperlink" Target="mailto:Office@mebelc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2026-07-02T09:21:00Z</dcterms:created>
  <dcterms:modified xsi:type="dcterms:W3CDTF">2026-07-02T09:21:00Z</dcterms:modified>
</cp:coreProperties>
</file>